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sub_1006"/>
      <w:r>
        <w:rPr>
          <w:rFonts w:ascii="Times New Roman" w:hAnsi="Times New Roman" w:cs="Times New Roman"/>
          <w:b/>
          <w:sz w:val="28"/>
          <w:szCs w:val="28"/>
        </w:rPr>
        <w:t xml:space="preserve">Газовое оборудование нуждается в профессиональном обслуживании.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Ульяновск» </w:t>
      </w:r>
      <w:r>
        <w:rPr>
          <w:rFonts w:ascii="Times New Roman" w:hAnsi="Times New Roman" w:cs="Times New Roman"/>
          <w:sz w:val="28"/>
          <w:szCs w:val="28"/>
        </w:rPr>
        <w:t xml:space="preserve">в г. Димитровград </w:t>
      </w:r>
      <w:r>
        <w:rPr>
          <w:rFonts w:ascii="Times New Roman" w:hAnsi="Times New Roman" w:cs="Times New Roman"/>
          <w:sz w:val="28"/>
          <w:szCs w:val="28"/>
        </w:rPr>
        <w:t xml:space="preserve">напоминают о важности проведения своевременного технического обслуживания внутридомового и внутриквартирного газового оборудования (ВДГО/ВКГО).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такое ВДГО/ВГКО и что входит в его состав?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after="24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ВКГО — это внутриквартирное газовое оборудование, к нему относятся газовые плиты, отопительные котлы или водонагревательные колонки вместе с прочими газовыми коммуникациями в границах квартиры либо частного дома.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24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ВДГО — это внутридомовое газовое оборудование, к нему относятся: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before="100" w:beforeAutospacing="1" w:after="12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газопроводы;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before="100" w:beforeAutospacing="1" w:after="12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газоиспользующее оборудование;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before="100" w:beforeAutospacing="1" w:after="12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устройства на газопроводах, в том числе регулирующая и предохранительная арматура;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before="100" w:beforeAutospacing="1" w:after="12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контроля загазованности помещений, приборы учета газа и 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24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между ВДГО и ВКГО в многоквартирном доме — первый запорный кран на входе газопровода в жилое помещение. Именно он отключает подачу газа.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ехническое обслуживание внутридомового и (или) внутриквартирного газового оборудования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реже 1 раза в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минимального перечня выполняемых работ (оказываемых услуг)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техническому обслуживанию и ремонту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Кто и на каких основаниях проводит техническое обслуживание внутридомового газового оборудования?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</w:p>
    <w:p>
      <w:pPr>
        <w:spacing w:after="24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большинстве случаев происшествия с газом так или иначе связаны с человеческим фактором. Незаконные врезки в газопровод, использование устаревшего оборудования, пренебрежение </w:t>
      </w:r>
      <w:hyperlink r:id="rId9" w:tooltip="https://www.gazprommap.ru/articles/safety-faq/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безопасного пользования газом — все это может привести к трагедии. Избежать газовой аварии и трагических последствий поможет регулярное техническое обслуживание.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24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 состояние газового оборудования закреплена за собственниками. Закон обязывает потребителей «обеспечивать надлежащее техническое состояние внутридомового и (или)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внутриквартирного газового оборудования,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заключать договор о техническом обслуживании и ремонте внутридомового газового оборудования в многоквартирном доме и (или) договор о техническом обслуживании внутриквартирного газового оборудования в многоквартирном доме, и (или) договор о 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ническом обслуживании внутридомового газового оборудования в жилом доме (домовладении)» (подпункт «к» пункта 21 Правил поставки газа для обеспечения коммунально-бытовых нужд граждан, утвержденных постановлением Правительства РФ от 21 июля 2008 года № 549).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24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1 сентября 2023 года за техническое обслуживание газового оборудования, согласно </w:t>
      </w:r>
      <w:hyperlink r:id="rId10" w:tooltip="http://ivo.garant.ru/#/document/406958458/paragraph/1:3" w:anchor="/document/406958458/paragraph/1: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постановлению Правительства РФ от 29 мая 2023 года № 859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отвечают исключительно газораспределительные организации. Ранее договор на ТО ВКГО или ВДГО можно было </w:t>
      </w:r>
      <w:hyperlink r:id="rId11" w:tooltip="https://www.gazprommap.ru/articles/maintenance-contract/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заключить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 любой специализированной организацией. Цель нововведения — повысить безопасность использования газа в домах: не каждая из частных специализированных компаний имела, например, собственную аварийно-диспетчерскую службу.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24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1 января 2024 года заключать договор на ТО нужно только с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Вашей </w:t>
      </w:r>
      <w:hyperlink r:id="rId12" w:tooltip="https://www.gazprommap.ru/regions/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местной ГРО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Ульяновской области таких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три: ООО «Газпром газораспределение Ульяновск»,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ООО «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Автогазсервис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», ООО «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Русгаз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before="240" w:after="120" w:line="240" w:lineRule="auto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Какие услуги входят в стоимость обслуживания ВДГО/ВКГО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</w:p>
    <w:p>
      <w:pPr>
        <w:jc w:val="both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2.Визуальная проверка наличия свободного доступа к внутридомовому и (или) внутриквартирному газовому оборудованию.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Визуальная проверка состояния окраски и креплений газопроводов.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5.Проверка герметичности соединений и отключающих устройств (</w:t>
      </w:r>
      <w:r>
        <w:rPr>
          <w:rFonts w:ascii="Times New Roman" w:hAnsi="Times New Roman" w:cs="Times New Roman"/>
          <w:sz w:val="28"/>
          <w:szCs w:val="28"/>
        </w:rPr>
        <w:t xml:space="preserve">опрессовка</w:t>
      </w:r>
      <w:r>
        <w:rPr>
          <w:rFonts w:ascii="Times New Roman" w:hAnsi="Times New Roman" w:cs="Times New Roman"/>
          <w:sz w:val="28"/>
          <w:szCs w:val="28"/>
        </w:rPr>
        <w:t xml:space="preserve">, приборный метод, мыльная эмульсия, пенообразующая смесь), принятие мер по устранению выявленной </w:t>
      </w:r>
      <w:r>
        <w:rPr>
          <w:rFonts w:ascii="Times New Roman" w:hAnsi="Times New Roman" w:cs="Times New Roman"/>
          <w:sz w:val="28"/>
          <w:szCs w:val="28"/>
        </w:rPr>
        <w:t xml:space="preserve">негерметичности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6.Проверка работоспособности и смазка отключающих устройств (если это предусмотрено документацией изготовителя), установленных на газопроводах.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Проверка работоспособности устройств, позволяющих автоматически отключить подачу газа при отклонении контролируемых параметров за </w:t>
      </w:r>
      <w:r>
        <w:rPr>
          <w:rFonts w:ascii="Times New Roman" w:hAnsi="Times New Roman" w:cs="Times New Roman"/>
          <w:sz w:val="28"/>
          <w:szCs w:val="28"/>
        </w:rPr>
        <w:t xml:space="preserve">допустимые пределы, ее наладка и регулировка (предохранительная арматура, системы контроля загазованности).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Регулировка процесса сжигания газа на всех режимах работы бытового газоиспользующего оборудования, очистка горелок от загрязнений.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Разборка и смазка кранов бытового газоиспользующего оборудования (если это предусмотрено документацией изготовителя).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Выявление неисправностей бытового газоиспользующего оборудования и определение возможности его дальнейшей эксплуатации.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Проверка технического состояния электроизолирующего соединения, установленного на газопроводе (при наличии).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Инструктаж потребителей газа по безопасному использованию газа при удовлетворении коммунально-бытовых нужд.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с прейскурантом цен можно ознакомиться на сайте ООО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«Газпром газораспределение Ульяновск» по адресу: </w:t>
      </w:r>
      <w:hyperlink r:id="rId13" w:tooltip="http://www.ulgaz.ru" w:history="1">
        <w:r>
          <w:rPr>
            <w:rStyle w:val="628"/>
            <w:rFonts w:ascii="Times New Roman" w:hAnsi="Times New Roman" w:cs="Times New Roman"/>
            <w:sz w:val="28"/>
            <w:szCs w:val="28"/>
            <w:lang w:val="en-US"/>
          </w:rPr>
          <w:t xml:space="preserve">www.ulgaz.ru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20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А если договор на техническое обслуживание ВДГО/ВГКО отсутствует? </w:t>
      </w:r>
      <w:r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r>
    </w:p>
    <w:p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случае отсутствия Договора на оказание услуг по техническому обслуживанию внутриквартирного (внутридомового) газового оборудования в соответствии 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п.45 и п.46 «Правил поставки газа для обеспечения коммунально-бытовых нужд граждан» №549, утвержденных постановлением Правительства РФ 21.07.2008 г. вправе в одностороннем порядке инициировать приостановление подачи газа потребителю до момента заключения.</w:t>
      </w:r>
      <w:bookmarkEnd w:id="0"/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ind w:firstLine="708"/>
        <w:spacing w:after="240" w:line="240" w:lineRule="auto"/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Без договора на обслуживание ВДГО/ВКГО газ отключат. Поставщик газа уведомит об отключении за 40 дней. При этом услуги отключения и повторного подключения газа придется оплатить жителю.</w:t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ind w:firstLine="708"/>
        <w:spacing w:after="240" w:line="240" w:lineRule="auto"/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Кроме того, за нарушение правил использования и содержания ВДГО/ВКГО предусмотрены штрафы. </w:t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Отказ в допуске представителя специализированной организации для выполнения работ по техническому обслуживанию и ремонту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внутридомового и (или)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нутриквартирного газового оборудования в случае уведомления о выполнении таких работ в установленном порядке -влечет наложение административного штрафа, предусмотренного частью 3 статьи 9.23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240" w:line="240" w:lineRule="auto"/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За уклонение от заключения договора и обязательной замены или диагностирования оборудования, отказ в допуске представителя специализированной организации граждане выплачивают штраф в размере 5</w:t>
      </w:r>
      <w:r>
        <w:rPr>
          <w:rFonts w:ascii="Times New Roman" w:hAnsi="Times New Roman" w:cs="Times New Roman"/>
          <w:spacing w:val="-4"/>
          <w:sz w:val="28"/>
          <w:szCs w:val="28"/>
        </w:rPr>
        <w:noBreakHyphen/>
        <w:t xml:space="preserve">10 тысяч рублей. Повторное нарушение увеличивает штраф до 15–25 тысяч</w:t>
      </w:r>
      <w:r>
        <w:rPr>
          <w:rFonts w:ascii="als_hauss" w:hAnsi="als_hauss" w:eastAsia="Times New Roman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рублей. При аварийной ситуации, которая привела к угрозе жизни или порче чужого имущества, штрафные санкции начинаются от 50 тысяч рублей. В таких случаях возможна и уголовная ответственность.</w:t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jc w:val="both"/>
        <w:spacing w:after="240" w:line="240" w:lineRule="auto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Штрафы взыскивают не газовики, а уполномоченные органы жилищного надзора, в частности, Государственная жилищная инспекция.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</w:r>
    </w:p>
    <w:p>
      <w:pPr>
        <w:ind w:firstLine="567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Подробнее об условиях проведения технического обслуживания можно уточнить в филиале по телефону: 8-84-244-2-14-41</w:t>
      </w:r>
      <w:bookmarkStart w:id="1" w:name="_GoBack"/>
      <w:r/>
      <w:bookmarkEnd w:id="1"/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s_hauss">
    <w:panose1 w:val="05050102010205020202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1"/>
    <w:link w:val="62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2"/>
    <w:basedOn w:val="619"/>
    <w:link w:val="63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 w:customStyle="1">
    <w:name w:val="formattext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18"/>
      <w:szCs w:val="18"/>
    </w:rPr>
  </w:style>
  <w:style w:type="character" w:styleId="625" w:customStyle="1">
    <w:name w:val="Цветовое выделение"/>
    <w:uiPriority w:val="99"/>
    <w:rPr>
      <w:b/>
      <w:color w:val="26282f"/>
      <w:sz w:val="26"/>
    </w:rPr>
  </w:style>
  <w:style w:type="paragraph" w:styleId="626" w:customStyle="1">
    <w:name w:val="Стиль"/>
    <w:basedOn w:val="619"/>
    <w:uiPriority w:val="99"/>
    <w:pPr>
      <w:ind w:firstLine="283"/>
      <w:jc w:val="both"/>
      <w:spacing w:after="0" w:line="257" w:lineRule="auto"/>
    </w:pPr>
    <w:rPr>
      <w:rFonts w:ascii="Arial" w:hAnsi="Arial" w:cs="Arial" w:eastAsiaTheme="minorHAnsi"/>
      <w:color w:val="000000"/>
      <w:sz w:val="13"/>
      <w:szCs w:val="13"/>
      <w:lang w:eastAsia="en-US"/>
    </w:rPr>
  </w:style>
  <w:style w:type="paragraph" w:styleId="627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8">
    <w:name w:val="Hyperlink"/>
    <w:basedOn w:val="621"/>
    <w:uiPriority w:val="99"/>
    <w:unhideWhenUsed/>
    <w:rPr>
      <w:color w:val="0000ff"/>
      <w:u w:val="single"/>
    </w:rPr>
  </w:style>
  <w:style w:type="paragraph" w:styleId="629" w:customStyle="1">
    <w:name w:val="first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30" w:customStyle="1">
    <w:name w:val="Заголовок 2 Знак"/>
    <w:basedOn w:val="621"/>
    <w:link w:val="620"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azprommap.ru/articles/safety-faq/" TargetMode="External"/><Relationship Id="rId10" Type="http://schemas.openxmlformats.org/officeDocument/2006/relationships/hyperlink" Target="http://ivo.garant.ru/" TargetMode="External"/><Relationship Id="rId11" Type="http://schemas.openxmlformats.org/officeDocument/2006/relationships/hyperlink" Target="https://www.gazprommap.ru/articles/maintenance-contract/" TargetMode="External"/><Relationship Id="rId12" Type="http://schemas.openxmlformats.org/officeDocument/2006/relationships/hyperlink" Target="https://www.gazprommap.ru/regions/" TargetMode="External"/><Relationship Id="rId13" Type="http://schemas.openxmlformats.org/officeDocument/2006/relationships/hyperlink" Target="http://www.ul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АртимоноваТП</dc:creator>
  <cp:keywords/>
  <dc:description/>
  <cp:revision>33</cp:revision>
  <dcterms:created xsi:type="dcterms:W3CDTF">2024-12-02T04:51:00Z</dcterms:created>
  <dcterms:modified xsi:type="dcterms:W3CDTF">2024-12-18T06:46:14Z</dcterms:modified>
</cp:coreProperties>
</file>